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E87" w:rsidRPr="00E1190D" w:rsidRDefault="00082E87" w:rsidP="00082E87">
      <w:pPr>
        <w:pStyle w:val="Nagwek1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E1190D">
        <w:rPr>
          <w:rFonts w:asciiTheme="minorHAnsi" w:hAnsiTheme="minorHAnsi" w:cstheme="minorHAnsi"/>
          <w:b/>
          <w:bCs/>
          <w:sz w:val="22"/>
          <w:szCs w:val="22"/>
        </w:rPr>
        <w:t>KARTA KURSU</w:t>
      </w:r>
    </w:p>
    <w:p w:rsidR="00082E87" w:rsidRPr="00E1190D" w:rsidRDefault="00082E87" w:rsidP="00082E87">
      <w:pPr>
        <w:jc w:val="center"/>
        <w:rPr>
          <w:rFonts w:asciiTheme="minorHAnsi" w:hAnsiTheme="minorHAnsi" w:cstheme="minorHAnsi"/>
          <w:b/>
        </w:rPr>
      </w:pPr>
      <w:r w:rsidRPr="00E1190D">
        <w:rPr>
          <w:rFonts w:asciiTheme="minorHAnsi" w:hAnsiTheme="minorHAnsi" w:cstheme="minorHAnsi"/>
          <w:b/>
        </w:rPr>
        <w:t>KIERUNEK: FILOLOGIA POLSKA</w:t>
      </w:r>
    </w:p>
    <w:p w:rsidR="00082E87" w:rsidRPr="00E1190D" w:rsidRDefault="00082E87" w:rsidP="00082E87">
      <w:pPr>
        <w:autoSpaceDE/>
        <w:autoSpaceDN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autoSpaceDE/>
        <w:autoSpaceDN w:val="0"/>
        <w:jc w:val="center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autoSpaceDE/>
        <w:autoSpaceDN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082E87" w:rsidRPr="00E1190D" w:rsidTr="00082E8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autoSpaceDE/>
              <w:autoSpaceDN w:val="0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Historia języka polskiego</w:t>
            </w:r>
          </w:p>
        </w:tc>
      </w:tr>
      <w:tr w:rsidR="00082E87" w:rsidRPr="00E1190D" w:rsidTr="00082E8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autoSpaceDE/>
              <w:autoSpaceDN w:val="0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History</w:t>
            </w:r>
            <w:proofErr w:type="spellEnd"/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of </w:t>
            </w:r>
            <w:proofErr w:type="spellStart"/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Polish</w:t>
            </w:r>
            <w:proofErr w:type="spellEnd"/>
          </w:p>
        </w:tc>
      </w:tr>
    </w:tbl>
    <w:p w:rsidR="00082E87" w:rsidRPr="00E1190D" w:rsidRDefault="00082E87" w:rsidP="00082E87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082E87" w:rsidRPr="00E1190D" w:rsidTr="00082E8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82E87" w:rsidRPr="00E1190D" w:rsidRDefault="00F52C6C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dr hab.</w:t>
            </w:r>
            <w:r w:rsidR="00082E87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Marceli Olma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Zespół dydaktyczny</w:t>
            </w:r>
          </w:p>
        </w:tc>
      </w:tr>
      <w:tr w:rsidR="00082E87" w:rsidRPr="00E1190D" w:rsidTr="00082E87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D655B" w:rsidRPr="00E1190D" w:rsidRDefault="003D655B" w:rsidP="003D655B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</w:rPr>
              <w:t>Katedra Języka Polskiego,</w:t>
            </w:r>
          </w:p>
          <w:p w:rsidR="003D655B" w:rsidRPr="00E1190D" w:rsidRDefault="003D655B" w:rsidP="003D655B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</w:rPr>
              <w:t xml:space="preserve">Lingwistyki Kulturowej </w:t>
            </w:r>
          </w:p>
          <w:p w:rsidR="00082E87" w:rsidRPr="00E1190D" w:rsidRDefault="003D655B" w:rsidP="003D655B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</w:rPr>
              <w:t>i Komunikacji Społecznej</w:t>
            </w:r>
          </w:p>
        </w:tc>
      </w:tr>
      <w:tr w:rsidR="00082E87" w:rsidRPr="00E1190D" w:rsidTr="00082E8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082E87" w:rsidRPr="00E1190D" w:rsidRDefault="00082E87" w:rsidP="00082E8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Opis kursu (cele kształcenia)</w:t>
      </w: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82E87" w:rsidRPr="00E1190D" w:rsidTr="00082E8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Celem zajęć jest omówienie dziejów języka polskiego od momentu jego wyodrębnienia się ze wspólnoty prasłowiańskiej do współczesności, z uwzględnieniem metod badawczych historii języka, czynników sprawczych jego rozwoju i zmian w poszczególnych podsystemach.</w:t>
            </w:r>
          </w:p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Studenci w ramach kursu zapoznają się:</w:t>
            </w:r>
          </w:p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z głównymi tendencjami rozwojowymi polszczyzny ogólnej i jej odmianami stylowymi;</w:t>
            </w:r>
          </w:p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z podstawowymi przemianami dokonującymi się w zakresie staropolskiej, średniopolskiej i nowopolskiej fonetyki, fleksji, słowotwórstwa, składni i leksyki;</w:t>
            </w:r>
          </w:p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ze stanowiskami i teoriami najwybitniejszych badaczy polszczyzny minionych epok.</w:t>
            </w: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Warunki wstępne</w:t>
      </w: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0"/>
        <w:gridCol w:w="7216"/>
      </w:tblGrid>
      <w:tr w:rsidR="00082E87" w:rsidRPr="00E1190D" w:rsidTr="00DE2509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autoSpaceDE/>
              <w:autoSpaceDN w:val="0"/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Wiedza</w:t>
            </w:r>
          </w:p>
        </w:tc>
        <w:tc>
          <w:tcPr>
            <w:tcW w:w="72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E2509" w:rsidRPr="00E1190D" w:rsidRDefault="00DE2509" w:rsidP="00DE2509">
            <w:pPr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Student jest wyposażony w wiedzę</w:t>
            </w:r>
            <w:r w:rsidR="00082E87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(na poziomie licealnym) na temat historii Eu</w:t>
            </w:r>
            <w:r w:rsidR="00F52C6C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ropy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ze szczególnym uwzględnieniem historii Polski.</w:t>
            </w:r>
          </w:p>
          <w:p w:rsidR="00082E87" w:rsidRPr="00E1190D" w:rsidRDefault="00F52C6C" w:rsidP="00DE2509">
            <w:pPr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Student posiada</w:t>
            </w:r>
            <w:r w:rsidR="00DE2509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podstawowe wiadomości dotyczące systemu</w:t>
            </w:r>
            <w:r w:rsidR="00082E87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gramatyc</w:t>
            </w:r>
            <w:r w:rsidR="00DE2509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znego i leksykalnego współczesnej </w:t>
            </w:r>
            <w:r w:rsidR="00082E87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polszczyzny</w:t>
            </w:r>
            <w:r w:rsidR="00DE2509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</w:tr>
      <w:tr w:rsidR="00082E87" w:rsidRPr="00E1190D" w:rsidTr="00DE2509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autoSpaceDE/>
              <w:autoSpaceDN w:val="0"/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Umiejętności</w:t>
            </w:r>
          </w:p>
        </w:tc>
        <w:tc>
          <w:tcPr>
            <w:tcW w:w="72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E2509" w:rsidRPr="00E1190D" w:rsidRDefault="00DE2509" w:rsidP="00DE2509">
            <w:pPr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Student potrafi</w:t>
            </w:r>
            <w:r w:rsidR="00082E87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czytać ze zrozumieniem proste teksty pochodzące z epok dawnych oraz teksty współczesne reprezentujące różne odmiany stylowe i gatunki wypowiedzi.</w:t>
            </w:r>
          </w:p>
          <w:p w:rsidR="00082E87" w:rsidRPr="00E1190D" w:rsidRDefault="00DE2509" w:rsidP="00DE2509">
            <w:pPr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Student posiada umiejętność </w:t>
            </w:r>
            <w:r w:rsidR="00082E87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strzegania w tekstach dawnych zjawisk nieznanych współczesnej polszczyźnie.</w:t>
            </w:r>
          </w:p>
        </w:tc>
      </w:tr>
      <w:tr w:rsidR="00082E87" w:rsidRPr="00E1190D" w:rsidTr="00DE2509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autoSpaceDE/>
              <w:autoSpaceDN w:val="0"/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Kursy</w:t>
            </w:r>
          </w:p>
        </w:tc>
        <w:tc>
          <w:tcPr>
            <w:tcW w:w="72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E2509" w:rsidRPr="00E1190D" w:rsidRDefault="00DE2509" w:rsidP="00DE2509">
            <w:pPr>
              <w:autoSpaceDE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</w:rPr>
              <w:t>Nie dotyczy: kurs w pierwszym semestrze studiów.</w:t>
            </w:r>
          </w:p>
          <w:p w:rsidR="00082E87" w:rsidRPr="00E1190D" w:rsidRDefault="00082E87">
            <w:pPr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Efekty uczenia się</w:t>
      </w: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64"/>
        <w:gridCol w:w="4433"/>
        <w:gridCol w:w="1979"/>
      </w:tblGrid>
      <w:tr w:rsidR="00082E87" w:rsidRPr="00E1190D" w:rsidTr="00DE2509">
        <w:trPr>
          <w:cantSplit/>
          <w:trHeight w:val="500"/>
        </w:trPr>
        <w:tc>
          <w:tcPr>
            <w:tcW w:w="185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Wiedza</w:t>
            </w:r>
          </w:p>
        </w:tc>
        <w:tc>
          <w:tcPr>
            <w:tcW w:w="529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1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082E87" w:rsidRPr="00E1190D" w:rsidTr="00DE2509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W01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33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podstawową terminologię z zakresu historii języka.</w:t>
            </w:r>
          </w:p>
        </w:tc>
        <w:tc>
          <w:tcPr>
            <w:tcW w:w="1979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K_W02</w:t>
            </w:r>
          </w:p>
        </w:tc>
      </w:tr>
      <w:tr w:rsidR="00082E87" w:rsidRPr="00E1190D" w:rsidTr="00DE2509">
        <w:trPr>
          <w:cantSplit/>
          <w:trHeight w:val="2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wiedzę na temat przemian zachodzących w obrębie poszczególnych podsystemów języka polskiego w minionych stuleciach.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K_W05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K_W11</w:t>
            </w:r>
          </w:p>
        </w:tc>
      </w:tr>
      <w:tr w:rsidR="00082E87" w:rsidRPr="00E1190D" w:rsidTr="00DE2509">
        <w:trPr>
          <w:cantSplit/>
          <w:trHeight w:val="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wiedzę na temat czynników wyznaczających kierunki i tempo rozwojowe polszczyzny w kolejnych wiekach.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K_W09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K_W10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K_W14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K_W15</w:t>
            </w:r>
          </w:p>
        </w:tc>
      </w:tr>
      <w:tr w:rsidR="00082E87" w:rsidRPr="00E1190D" w:rsidTr="00DE2509">
        <w:trPr>
          <w:cantSplit/>
          <w:trHeight w:val="10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W04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Wie, jaki wkład w rozwój polskiego języka literackiego miały wybitne jednostki oraz instytucje życia publicznego.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K_W10</w:t>
            </w:r>
          </w:p>
        </w:tc>
      </w:tr>
      <w:tr w:rsidR="00082E87" w:rsidRPr="00E1190D" w:rsidTr="00DE2509">
        <w:trPr>
          <w:cantSplit/>
          <w:trHeight w:val="14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W05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 teorie badaczy dotyczące powstania języka polskiego w jego wariancie ponadregionalnym.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K_W08</w:t>
            </w: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830"/>
        <w:gridCol w:w="4415"/>
        <w:gridCol w:w="1909"/>
      </w:tblGrid>
      <w:tr w:rsidR="00082E87" w:rsidRPr="00E1190D" w:rsidTr="00082E8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Umiejętności</w:t>
            </w:r>
          </w:p>
        </w:tc>
        <w:tc>
          <w:tcPr>
            <w:tcW w:w="52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19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082E87" w:rsidRPr="00E1190D" w:rsidTr="00082E87">
        <w:trPr>
          <w:cantSplit/>
          <w:trHeight w:val="63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U01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15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poddać analizie teksty literackie i użytkowe pochodzące z minionych epok, nazywając zjawiska oraz określając ich chronologię, przyczyny i konsekwencje przeprowadzonych zmian.</w:t>
            </w:r>
          </w:p>
        </w:tc>
        <w:tc>
          <w:tcPr>
            <w:tcW w:w="1909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K_U06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K_U07</w:t>
            </w:r>
          </w:p>
        </w:tc>
      </w:tr>
      <w:tr w:rsidR="00082E87" w:rsidRPr="00E1190D" w:rsidTr="00082E87">
        <w:trPr>
          <w:cantSplit/>
          <w:trHeight w:val="5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określić wkład jednostek oraz instytucji życia publicznego w rozwój języka, jak również wpływ wypowiedzi autorów gramatyk i słowników na kształtowanie się normy  językowej.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K_U08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K_U09</w:t>
            </w:r>
          </w:p>
        </w:tc>
      </w:tr>
      <w:tr w:rsidR="00082E87" w:rsidRPr="00E1190D" w:rsidTr="00082E87">
        <w:trPr>
          <w:cantSplit/>
          <w:trHeight w:val="90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4415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Potrafi wypowiadać się na temat dawnych tekstów zarówno z perspektywy diachronicznej, jak i synchronicznej.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K_U02</w:t>
            </w:r>
          </w:p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 _U13</w:t>
            </w: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868"/>
        <w:gridCol w:w="4508"/>
        <w:gridCol w:w="1837"/>
      </w:tblGrid>
      <w:tr w:rsidR="00082E87" w:rsidRPr="00E1190D" w:rsidTr="00F52C6C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Kompetencje społeczne</w:t>
            </w:r>
          </w:p>
        </w:tc>
        <w:tc>
          <w:tcPr>
            <w:tcW w:w="53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18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082E87" w:rsidRPr="00E1190D" w:rsidTr="00F52C6C">
        <w:trPr>
          <w:cantSplit/>
          <w:trHeight w:val="5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4508" w:type="dxa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Rozumie znaczenie, jakie dla świadomego i poprawnego posługiwania się językiem ojczystym ma znajomość jego historii.</w:t>
            </w:r>
          </w:p>
        </w:tc>
        <w:tc>
          <w:tcPr>
            <w:tcW w:w="1837" w:type="dxa"/>
            <w:tcBorders>
              <w:top w:val="single" w:sz="4" w:space="0" w:color="95B3D7"/>
              <w:left w:val="single" w:sz="4" w:space="0" w:color="95B3D7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K_K07</w:t>
            </w:r>
          </w:p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K_K08</w:t>
            </w:r>
          </w:p>
        </w:tc>
      </w:tr>
      <w:tr w:rsidR="00082E87" w:rsidRPr="00E1190D" w:rsidTr="00F52C6C">
        <w:trPr>
          <w:cantSplit/>
          <w:trHeight w:val="69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Dostrzega potrzebę dbania o poszanowanie języka ojczystego, zarówno w odniesieniu do jego przeszłości, jak i stanu współczesnego.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95B3D7"/>
              <w:bottom w:val="single" w:sz="4" w:space="0" w:color="auto"/>
              <w:right w:val="single" w:sz="4" w:space="0" w:color="95B3D7"/>
            </w:tcBorders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K_K07</w:t>
            </w:r>
          </w:p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F52C6C">
        <w:trPr>
          <w:cantSplit/>
          <w:trHeight w:val="69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auto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Zdaje sobie sprawę z zależności pomiędzy wielowiekowym rozwojem języka a procesami budowania narodowej tożsamości.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K_K07</w:t>
            </w:r>
          </w:p>
          <w:p w:rsidR="00082E87" w:rsidRPr="00E1190D" w:rsidRDefault="00082E87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K_K09</w:t>
            </w: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82E87" w:rsidRPr="00E1190D" w:rsidTr="00082E8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Organizacja</w:t>
            </w:r>
          </w:p>
        </w:tc>
      </w:tr>
      <w:tr w:rsidR="00082E87" w:rsidRPr="00E1190D" w:rsidTr="00082E8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Wykład</w:t>
            </w:r>
          </w:p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 w grupach</w:t>
            </w:r>
          </w:p>
        </w:tc>
      </w:tr>
      <w:tr w:rsidR="00082E87" w:rsidRPr="00E1190D" w:rsidTr="00082E8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Opis metod prowadzenia zajęć</w:t>
      </w: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82E87" w:rsidRPr="00E1190D" w:rsidTr="00082E87">
        <w:trPr>
          <w:trHeight w:val="1184"/>
        </w:trPr>
        <w:tc>
          <w:tcPr>
            <w:tcW w:w="97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82E87" w:rsidRPr="00E1190D" w:rsidRDefault="00082E87">
            <w:pPr>
              <w:pStyle w:val="Zawartotabeli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wykład</w:t>
            </w:r>
          </w:p>
          <w:p w:rsidR="00082E87" w:rsidRPr="00E1190D" w:rsidRDefault="00082E87">
            <w:pPr>
              <w:pStyle w:val="Zawartotabeli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analiza materiału – historycznojęzykowa analiza tekstu</w:t>
            </w:r>
          </w:p>
          <w:p w:rsidR="00082E87" w:rsidRPr="00E1190D" w:rsidRDefault="00082E87">
            <w:pPr>
              <w:pStyle w:val="Zawartotabeli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dyskusja</w:t>
            </w:r>
          </w:p>
          <w:p w:rsidR="00082E87" w:rsidRPr="00E1190D" w:rsidRDefault="00082E87">
            <w:pPr>
              <w:pStyle w:val="Zawartotabeli"/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referat</w:t>
            </w:r>
          </w:p>
        </w:tc>
      </w:tr>
    </w:tbl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Formy sprawdzania efektów uczenia się</w:t>
      </w:r>
    </w:p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7"/>
        <w:gridCol w:w="630"/>
        <w:gridCol w:w="585"/>
        <w:gridCol w:w="555"/>
        <w:gridCol w:w="554"/>
        <w:gridCol w:w="663"/>
        <w:gridCol w:w="662"/>
        <w:gridCol w:w="773"/>
        <w:gridCol w:w="772"/>
        <w:gridCol w:w="773"/>
        <w:gridCol w:w="772"/>
        <w:gridCol w:w="773"/>
        <w:gridCol w:w="663"/>
      </w:tblGrid>
      <w:tr w:rsidR="00082E87" w:rsidRPr="00E1190D" w:rsidTr="00082E8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 – learning</w:t>
            </w: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Gry dydaktyczne</w:t>
            </w: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 w szkole</w:t>
            </w: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Zajęcia terenowe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Praca laboratoryjna</w:t>
            </w: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Projekt indywidualny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Projekt grupowy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Udział w dyskusji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Referat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Praca pisemna (esej)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Egzamin pisemny / ustny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82E87" w:rsidRPr="00E1190D" w:rsidRDefault="00082E87">
            <w:pPr>
              <w:spacing w:line="256" w:lineRule="auto"/>
              <w:ind w:left="113" w:right="113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Analiza materiału</w:t>
            </w:r>
          </w:p>
        </w:tc>
      </w:tr>
      <w:tr w:rsidR="00082E87" w:rsidRPr="00E1190D" w:rsidTr="00082E8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pStyle w:val="Tekstdymka1"/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</w:tr>
      <w:tr w:rsidR="00082E87" w:rsidRPr="00E1190D" w:rsidTr="00082E8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</w:tr>
      <w:tr w:rsidR="00082E87" w:rsidRPr="00E1190D" w:rsidTr="00082E8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</w:tr>
      <w:tr w:rsidR="00082E87" w:rsidRPr="00E1190D" w:rsidTr="00082E8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82E87" w:rsidRPr="00E1190D" w:rsidTr="00082E8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82E87" w:rsidRPr="00E1190D" w:rsidRDefault="00082E87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pStyle w:val="Zawartotabeli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82E87" w:rsidRPr="00E1190D" w:rsidTr="00082E8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082E87" w:rsidRPr="00E1190D" w:rsidRDefault="00082E87">
            <w:pPr>
              <w:pStyle w:val="Zawartotabeli"/>
              <w:spacing w:before="57" w:after="57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 zaliczenie kursu składa się: obecność na zajęciach, systematyczne przygotowanie i aktywny udział w zajęciach.</w:t>
            </w:r>
          </w:p>
          <w:p w:rsidR="00082E87" w:rsidRPr="00E1190D" w:rsidRDefault="00082E87">
            <w:pPr>
              <w:pStyle w:val="Zawartotabeli"/>
              <w:spacing w:before="57" w:after="57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Egzamin wieńczący naukę w </w:t>
            </w:r>
            <w:r w:rsidR="00F52C6C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ramach kursu ma formę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pisemną, dotyczy zagadnień poruszanych na zajęciach wykładowych i audytoryjnych. Integralną część egzaminu stanowi analiza filologiczna tekstu z doby średnio- lub nowopolskiej polegająca na omówieniu zjawisk historycznojęzykowych wystę</w:t>
            </w:r>
            <w:r w:rsidR="00F52C6C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pujących w obrębie tego tekstu.</w:t>
            </w:r>
          </w:p>
          <w:p w:rsidR="00F52C6C" w:rsidRPr="00E1190D" w:rsidRDefault="00F52C6C">
            <w:pPr>
              <w:pStyle w:val="Zawartotabeli"/>
              <w:spacing w:before="57" w:after="57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 egzaminu końcowego może przystąpić student, którego frekwencja na zajęciach (wykład + ćwiczenia) była nie mniejsza niż 80 %.</w:t>
            </w: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82E87" w:rsidRPr="00E1190D" w:rsidTr="00082E8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autoSpaceDE/>
              <w:autoSpaceDN w:val="0"/>
              <w:spacing w:after="57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F52C6C" w:rsidRPr="00E1190D" w:rsidRDefault="00F52C6C">
            <w:pPr>
              <w:pStyle w:val="Zawartotabeli"/>
              <w:spacing w:before="57" w:after="57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082E87" w:rsidRPr="00E1190D" w:rsidRDefault="00082E87">
            <w:pPr>
              <w:pStyle w:val="Zawartotabeli"/>
              <w:spacing w:before="57" w:after="57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Zajęcia mogą odbywać się w trybie zdalnym.</w:t>
            </w:r>
          </w:p>
          <w:p w:rsidR="00082E87" w:rsidRPr="00E1190D" w:rsidRDefault="00082E87">
            <w:pPr>
              <w:pStyle w:val="Zawartotabeli"/>
              <w:spacing w:before="57" w:after="57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Treści merytoryczne (wykaz tematów)</w:t>
      </w: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82E87" w:rsidRPr="00E1190D" w:rsidTr="00082E8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82E87" w:rsidRPr="00E1190D" w:rsidRDefault="00082E87">
            <w:pPr>
              <w:widowControl/>
              <w:suppressAutoHyphens w:val="0"/>
              <w:autoSpaceDE/>
              <w:autoSpaceDN w:val="0"/>
              <w:spacing w:line="256" w:lineRule="auto"/>
              <w:ind w:left="644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Wykład: </w:t>
            </w:r>
          </w:p>
          <w:p w:rsidR="00082E87" w:rsidRPr="00E1190D" w:rsidRDefault="00082E87">
            <w:pPr>
              <w:widowControl/>
              <w:suppressAutoHyphens w:val="0"/>
              <w:autoSpaceDE/>
              <w:autoSpaceDN w:val="0"/>
              <w:spacing w:line="256" w:lineRule="auto"/>
              <w:ind w:left="644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082E87" w:rsidRPr="00E1190D" w:rsidRDefault="00082E87" w:rsidP="00082E87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Geneza języka polskiego. Wspólnota praindoeur</w:t>
            </w:r>
            <w:r w:rsidR="00F52C6C"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pejska. Język prasłowiański. Słowianie zachodni, Słowianie południowi, Słowianie Wschodni. Dialekty lechickie, plemiona słowiańskie osiadłe pomiędzy Bałtykiem a Karpatami.</w:t>
            </w:r>
          </w:p>
          <w:p w:rsidR="00082E87" w:rsidRPr="00E1190D" w:rsidRDefault="00082E87" w:rsidP="00082E87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Znaczenie organizacji państwowej i przyjęcia chrześcijaństwa dla powstania polskiego języka narodowego.</w:t>
            </w:r>
          </w:p>
          <w:p w:rsidR="00082E87" w:rsidRPr="00E1190D" w:rsidRDefault="00082E87" w:rsidP="00082E87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Geneza języka ponadregionalnego (przeciwstawne stanowiska badaczy broniących hipotezy o pochodzeniu języka literackiego na kanwie dialektu wielkopolskiego i małopolskiego, kompromisowe stanowisko w tej sprawie).</w:t>
            </w:r>
          </w:p>
          <w:p w:rsidR="00082E87" w:rsidRPr="00E1190D" w:rsidRDefault="00082E87" w:rsidP="00082E87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Periodyzacja dziejów języka polskiego (różne koncepcje i kryteria podziału).</w:t>
            </w:r>
          </w:p>
          <w:p w:rsidR="00082E87" w:rsidRPr="00E1190D" w:rsidRDefault="00082E87" w:rsidP="00082E87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Rozwój staropolskiej ortografii. Propozycje unormowania pisowni w XVI w. (Zaborowski, Murzynowski, </w:t>
            </w:r>
            <w:proofErr w:type="spellStart"/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Januszowski</w:t>
            </w:r>
            <w:proofErr w:type="spellEnd"/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), w dobie nowopolskiej – Kopczyński, Feliński, Uchwały Akademii Umiejętności z roku 1891 i 1936.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Zmiany językowe w epoce przedpiśmiennej. Leksykalne dziedzictwo prasłowiańskie, najstarsza warstwa zapożyczeń.</w:t>
            </w:r>
          </w:p>
          <w:p w:rsidR="00082E87" w:rsidRPr="00E1190D" w:rsidRDefault="00082E87" w:rsidP="00082E87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082E87" w:rsidRPr="00E1190D" w:rsidRDefault="00082E87">
            <w:pPr>
              <w:widowControl/>
              <w:suppressAutoHyphens w:val="0"/>
              <w:autoSpaceDE/>
              <w:autoSpaceDN w:val="0"/>
              <w:spacing w:line="256" w:lineRule="auto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082E87" w:rsidRPr="00E1190D" w:rsidRDefault="00082E87" w:rsidP="00082E87">
            <w:pPr>
              <w:widowControl/>
              <w:suppressAutoHyphens w:val="0"/>
              <w:autoSpaceDE/>
              <w:autoSpaceDN w:val="0"/>
              <w:spacing w:line="256" w:lineRule="auto"/>
              <w:ind w:left="284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Ćwiczenia: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Najważniejsze zmiany językowe doby staropolskiej. Słownictwo doby staropolskiej.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Zabytki doby staropolskiej (podział, treść, styl, forma, zróżnicowanie regionalne). Język i styl piśmiennictwa doby staropolskiej.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Najważniejsze zmiany językowe w zakresie fonetyki i fleksji w dobie średniopolskiej. Słownictwo rodzime i obce doby średniopolskiej.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Język i styl literatury doby średniopolskiej.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Rozwój podsystemu fonetycznego i fleksyjnego w dobie nowopolskiej.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Funkcjonowanie polszczyzny w okresie zaborów.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Promowanie języka narodowego w okresie międzywojennym.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Sytuacja polszczyzny w okresie okupacji.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Czynniki rozwoju języka polskiego w okresie PRL-u.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Rozwój podsystemu słowotwórczego w dobie średniopolskiej i nowopolskiej (formanty o ograniczonej produktywności, dzieje nazwisk polskich).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Rozwój polskiej leksykografii – słowniki.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Faza akcentu paroksytonicznego zestrojowego i wyrazowego.</w:t>
            </w:r>
          </w:p>
          <w:p w:rsidR="00082E87" w:rsidRPr="00E1190D" w:rsidRDefault="00082E87" w:rsidP="00082E8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autoSpaceDN w:val="0"/>
              <w:spacing w:line="256" w:lineRule="auto"/>
              <w:ind w:left="993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Rozwój odmian stylowych polszczyzny ze szczególnym uwzględnieniem języka artystycznego w poszczególnych epokach literackich.</w:t>
            </w:r>
          </w:p>
          <w:p w:rsidR="00082E87" w:rsidRPr="00E1190D" w:rsidRDefault="00082E87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Wykaz literatury podstawowej</w:t>
      </w: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82E87" w:rsidRPr="00E1190D" w:rsidTr="00082E8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82E87" w:rsidRPr="00E1190D" w:rsidRDefault="00082E87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Bajerowa I.,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Zarys historii języka polskiego 1939-2000,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Warszawa 2005.</w:t>
            </w:r>
          </w:p>
          <w:p w:rsidR="00082E87" w:rsidRPr="00E1190D" w:rsidRDefault="00082E87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Borawski S.,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Wprowadzenie do historii języka polskiego. Zagadnienia historiozoficzne,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Warszawa 2000.</w:t>
            </w:r>
          </w:p>
          <w:p w:rsidR="00082E87" w:rsidRPr="00E1190D" w:rsidRDefault="00082E87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Język polski czasu drugiej wojny światowej (1939-1945),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pod red. I. Bajerowej, Warszawa 1996.</w:t>
            </w:r>
          </w:p>
          <w:p w:rsidR="00082E87" w:rsidRPr="00E1190D" w:rsidRDefault="00082E87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Klemensiewicz Z.,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Historia języka polskiego,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Warszawa 1974.</w:t>
            </w:r>
          </w:p>
          <w:p w:rsidR="00082E87" w:rsidRPr="00E1190D" w:rsidRDefault="00082E87">
            <w:pPr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Walczak B.,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Zarys historii języka polskiego,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Wrocław 1999.</w:t>
            </w:r>
          </w:p>
          <w:p w:rsidR="00082E87" w:rsidRPr="00E1190D" w:rsidRDefault="00082E87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082E87" w:rsidRPr="00E1190D" w:rsidRDefault="00082E87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Wybór tekstów:</w:t>
            </w:r>
          </w:p>
          <w:p w:rsidR="00082E87" w:rsidRPr="00E1190D" w:rsidRDefault="00082E87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Borawski S., </w:t>
            </w:r>
            <w:proofErr w:type="spellStart"/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Furdal</w:t>
            </w:r>
            <w:proofErr w:type="spellEnd"/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A., </w:t>
            </w:r>
            <w:r w:rsidRPr="00E1190D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 xml:space="preserve">Wybór tekstów do historii języka polskiego,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Warszawa 1980.</w:t>
            </w:r>
          </w:p>
          <w:p w:rsidR="00082E87" w:rsidRPr="00E1190D" w:rsidRDefault="00082E87">
            <w:pPr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 xml:space="preserve">Wybór tekstów z dziejów języka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polskiego, t. I-II, pod red. M. Cybulskiego, Łódź 2015. </w:t>
            </w:r>
          </w:p>
          <w:p w:rsidR="00082E87" w:rsidRPr="00E1190D" w:rsidRDefault="00082E87">
            <w:pPr>
              <w:widowControl/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Wykaz literatury uzupełniającej</w:t>
      </w: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82E87" w:rsidRPr="00E1190D" w:rsidTr="00082E8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82E87" w:rsidRPr="00E1190D" w:rsidRDefault="00082E87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Taszycki W.,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Rozprawy i studia polonistyczne. II. Dialektologia historyczna i problem pochodzenia polskiego języka literackiego,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Wrocław 1961.</w:t>
            </w:r>
          </w:p>
          <w:p w:rsidR="00082E87" w:rsidRPr="00E1190D" w:rsidRDefault="00082E87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Lehr-Spławiński T.,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Język polski. Pochodzenie, powstanie, rozwój,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Warszawa 1978 (rozdz. IV o prasłowiańskim dziedzictwie leksykalnym).</w:t>
            </w:r>
          </w:p>
          <w:p w:rsidR="00082E87" w:rsidRPr="00E1190D" w:rsidRDefault="00082E87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Bajerowa I.,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Próba sformułowania kilku praw ewolucji języka (na materiałach historii języka literackiego),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Biuletyn PTJ XXII, 1965.</w:t>
            </w:r>
          </w:p>
          <w:p w:rsidR="00082E87" w:rsidRPr="00E1190D" w:rsidRDefault="00082E87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Milewski T.,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Główne etapy rozwoju polskiego języka literackiego, </w:t>
            </w:r>
            <w:r w:rsidRPr="00E1190D"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  <w:t>[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w:] T. Milewski,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Teoria, typologia, historia języka,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Wrocław 1993, s. 409-430.</w:t>
            </w:r>
          </w:p>
          <w:p w:rsidR="00082E87" w:rsidRPr="00E1190D" w:rsidRDefault="00082E87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Skubalanka T.,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Historyczna stylistyka języka polskiego. Przekroje,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Wrocław 1984.</w:t>
            </w:r>
          </w:p>
          <w:p w:rsidR="00082E87" w:rsidRPr="00E1190D" w:rsidRDefault="00082E87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Dubisz S., </w:t>
            </w: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Język, historia, kultura,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Warszawa 2002.</w:t>
            </w:r>
          </w:p>
          <w:p w:rsidR="00082E87" w:rsidRPr="00E1190D" w:rsidRDefault="00082E87">
            <w:pPr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Rozprawy o historii języka polskiego, </w:t>
            </w:r>
            <w:r w:rsidRPr="00E119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red. S. Borawski, Zielona Góra 2005.</w:t>
            </w:r>
          </w:p>
        </w:tc>
      </w:tr>
    </w:tbl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pStyle w:val="Tekstdymka1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pStyle w:val="Tekstdymka1"/>
        <w:rPr>
          <w:rFonts w:asciiTheme="minorHAnsi" w:hAnsiTheme="minorHAnsi" w:cstheme="minorHAnsi"/>
          <w:sz w:val="22"/>
          <w:szCs w:val="22"/>
        </w:rPr>
      </w:pPr>
      <w:r w:rsidRPr="00E1190D">
        <w:rPr>
          <w:rFonts w:asciiTheme="minorHAnsi" w:hAnsiTheme="minorHAnsi" w:cstheme="minorHAnsi"/>
          <w:sz w:val="22"/>
          <w:szCs w:val="22"/>
        </w:rPr>
        <w:t>Bilans godzinowy zgodny z CNPS (Całkowity Nakład Pracy Studenta)</w:t>
      </w:r>
    </w:p>
    <w:p w:rsidR="00082E87" w:rsidRPr="00E1190D" w:rsidRDefault="00082E87" w:rsidP="00082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3"/>
        <w:gridCol w:w="5391"/>
        <w:gridCol w:w="1038"/>
      </w:tblGrid>
      <w:tr w:rsidR="00082E87" w:rsidRPr="00E1190D" w:rsidTr="00082E8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10</w:t>
            </w:r>
          </w:p>
        </w:tc>
      </w:tr>
      <w:tr w:rsidR="00082E87" w:rsidRPr="00E1190D" w:rsidTr="00082E8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20</w:t>
            </w:r>
          </w:p>
        </w:tc>
      </w:tr>
      <w:tr w:rsidR="00082E87" w:rsidRPr="00E1190D" w:rsidTr="00082E8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</w:t>
            </w:r>
          </w:p>
        </w:tc>
      </w:tr>
      <w:tr w:rsidR="00082E87" w:rsidRPr="00E1190D" w:rsidTr="00082E8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</w:tr>
      <w:tr w:rsidR="00082E87" w:rsidRPr="00E1190D" w:rsidTr="00082E87">
        <w:trPr>
          <w:cantSplit/>
          <w:trHeight w:val="77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5</w:t>
            </w:r>
          </w:p>
        </w:tc>
      </w:tr>
      <w:tr w:rsidR="00082E87" w:rsidRPr="00E1190D" w:rsidTr="00082E8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</w:t>
            </w:r>
          </w:p>
        </w:tc>
      </w:tr>
      <w:tr w:rsidR="00082E87" w:rsidRPr="00E1190D" w:rsidTr="00082E8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suppressAutoHyphens w:val="0"/>
              <w:autoSpaceDE/>
              <w:spacing w:line="25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20</w:t>
            </w:r>
          </w:p>
        </w:tc>
      </w:tr>
      <w:tr w:rsidR="00082E87" w:rsidRPr="00E1190D" w:rsidTr="00082E8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75</w:t>
            </w:r>
          </w:p>
        </w:tc>
      </w:tr>
      <w:tr w:rsidR="00082E87" w:rsidRPr="00E1190D" w:rsidTr="00082E8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82E87" w:rsidRPr="00E1190D" w:rsidRDefault="00082E8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E1190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</w:t>
            </w:r>
          </w:p>
        </w:tc>
      </w:tr>
    </w:tbl>
    <w:p w:rsidR="00082E87" w:rsidRPr="00E1190D" w:rsidRDefault="00082E87" w:rsidP="00082E87">
      <w:pPr>
        <w:pStyle w:val="Tekstdymka1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pStyle w:val="Tekstdymka1"/>
        <w:rPr>
          <w:rFonts w:asciiTheme="minorHAnsi" w:hAnsiTheme="minorHAnsi" w:cstheme="minorHAnsi"/>
          <w:sz w:val="22"/>
          <w:szCs w:val="22"/>
        </w:rPr>
      </w:pPr>
    </w:p>
    <w:p w:rsidR="00082E87" w:rsidRPr="00E1190D" w:rsidRDefault="00082E87" w:rsidP="00082E87">
      <w:pPr>
        <w:rPr>
          <w:rFonts w:asciiTheme="minorHAnsi" w:hAnsiTheme="minorHAnsi" w:cstheme="minorHAnsi"/>
        </w:rPr>
      </w:pPr>
    </w:p>
    <w:p w:rsidR="005706C4" w:rsidRPr="00E1190D" w:rsidRDefault="005706C4">
      <w:pPr>
        <w:rPr>
          <w:rFonts w:asciiTheme="minorHAnsi" w:hAnsiTheme="minorHAnsi" w:cstheme="minorHAnsi"/>
        </w:rPr>
      </w:pPr>
    </w:p>
    <w:sectPr w:rsidR="005706C4" w:rsidRPr="00E11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6CC"/>
    <w:multiLevelType w:val="hybridMultilevel"/>
    <w:tmpl w:val="6518C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6522E"/>
    <w:multiLevelType w:val="hybridMultilevel"/>
    <w:tmpl w:val="0E90F6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F3502B"/>
    <w:multiLevelType w:val="hybridMultilevel"/>
    <w:tmpl w:val="A0CE82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7E21EE"/>
    <w:multiLevelType w:val="hybridMultilevel"/>
    <w:tmpl w:val="D7C8A0D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427ABA"/>
    <w:multiLevelType w:val="hybridMultilevel"/>
    <w:tmpl w:val="23863C28"/>
    <w:lvl w:ilvl="0" w:tplc="0415000F">
      <w:start w:val="1"/>
      <w:numFmt w:val="decimal"/>
      <w:lvlText w:val="%1."/>
      <w:lvlJc w:val="left"/>
      <w:pPr>
        <w:tabs>
          <w:tab w:val="num" w:pos="714"/>
        </w:tabs>
        <w:ind w:left="71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970998"/>
    <w:multiLevelType w:val="hybridMultilevel"/>
    <w:tmpl w:val="86841418"/>
    <w:lvl w:ilvl="0" w:tplc="FFA27AA4">
      <w:start w:val="1"/>
      <w:numFmt w:val="decimal"/>
      <w:lvlText w:val="%1."/>
      <w:lvlJc w:val="left"/>
      <w:pPr>
        <w:ind w:left="71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34" w:hanging="360"/>
      </w:pPr>
    </w:lvl>
    <w:lvl w:ilvl="2" w:tplc="0415001B">
      <w:start w:val="1"/>
      <w:numFmt w:val="lowerRoman"/>
      <w:lvlText w:val="%3."/>
      <w:lvlJc w:val="right"/>
      <w:pPr>
        <w:ind w:left="2154" w:hanging="180"/>
      </w:pPr>
    </w:lvl>
    <w:lvl w:ilvl="3" w:tplc="0415000F">
      <w:start w:val="1"/>
      <w:numFmt w:val="decimal"/>
      <w:lvlText w:val="%4."/>
      <w:lvlJc w:val="left"/>
      <w:pPr>
        <w:ind w:left="2874" w:hanging="360"/>
      </w:pPr>
    </w:lvl>
    <w:lvl w:ilvl="4" w:tplc="04150019">
      <w:start w:val="1"/>
      <w:numFmt w:val="lowerLetter"/>
      <w:lvlText w:val="%5."/>
      <w:lvlJc w:val="left"/>
      <w:pPr>
        <w:ind w:left="3594" w:hanging="360"/>
      </w:pPr>
    </w:lvl>
    <w:lvl w:ilvl="5" w:tplc="0415001B">
      <w:start w:val="1"/>
      <w:numFmt w:val="lowerRoman"/>
      <w:lvlText w:val="%6."/>
      <w:lvlJc w:val="right"/>
      <w:pPr>
        <w:ind w:left="4314" w:hanging="180"/>
      </w:pPr>
    </w:lvl>
    <w:lvl w:ilvl="6" w:tplc="0415000F">
      <w:start w:val="1"/>
      <w:numFmt w:val="decimal"/>
      <w:lvlText w:val="%7."/>
      <w:lvlJc w:val="left"/>
      <w:pPr>
        <w:ind w:left="5034" w:hanging="360"/>
      </w:pPr>
    </w:lvl>
    <w:lvl w:ilvl="7" w:tplc="04150019">
      <w:start w:val="1"/>
      <w:numFmt w:val="lowerLetter"/>
      <w:lvlText w:val="%8."/>
      <w:lvlJc w:val="left"/>
      <w:pPr>
        <w:ind w:left="5754" w:hanging="360"/>
      </w:pPr>
    </w:lvl>
    <w:lvl w:ilvl="8" w:tplc="0415001B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37"/>
    <w:rsid w:val="00082E87"/>
    <w:rsid w:val="003D655B"/>
    <w:rsid w:val="005706C4"/>
    <w:rsid w:val="00923C37"/>
    <w:rsid w:val="00C43D18"/>
    <w:rsid w:val="00DE2509"/>
    <w:rsid w:val="00E1190D"/>
    <w:rsid w:val="00F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BC686-0E9A-4ACA-A185-71A32AB3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E8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2E8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2E87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82E87"/>
    <w:pPr>
      <w:ind w:left="708"/>
    </w:pPr>
  </w:style>
  <w:style w:type="paragraph" w:customStyle="1" w:styleId="Zawartotabeli">
    <w:name w:val="Zawartość tabeli"/>
    <w:basedOn w:val="Normalny"/>
    <w:rsid w:val="00082E87"/>
    <w:pPr>
      <w:suppressLineNumbers/>
    </w:pPr>
  </w:style>
  <w:style w:type="paragraph" w:customStyle="1" w:styleId="Tekstdymka1">
    <w:name w:val="Tekst dymka1"/>
    <w:basedOn w:val="Normalny"/>
    <w:rsid w:val="00082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A91886-D33D-4C88-AB05-5085E21E211C}"/>
</file>

<file path=customXml/itemProps2.xml><?xml version="1.0" encoding="utf-8"?>
<ds:datastoreItem xmlns:ds="http://schemas.openxmlformats.org/officeDocument/2006/customXml" ds:itemID="{6A29307F-F08A-4985-A235-A19DD8078239}"/>
</file>

<file path=customXml/itemProps3.xml><?xml version="1.0" encoding="utf-8"?>
<ds:datastoreItem xmlns:ds="http://schemas.openxmlformats.org/officeDocument/2006/customXml" ds:itemID="{5A1A7378-4FDA-4A5F-80EE-A6B399E056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2024-10-06T06:52:00Z</dcterms:created>
  <dcterms:modified xsi:type="dcterms:W3CDTF">2024-10-06T06:52:00Z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