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199" w:rsidRDefault="00FF4CC3">
      <w:pPr>
        <w:pStyle w:val="Nagwek1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KARTA KURSU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Kulturoznawstwo i wiedza o mediach</w:t>
      </w:r>
    </w:p>
    <w:p w:rsidR="00895199" w:rsidRDefault="00FF4CC3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Studia I stopnia, semestr 1</w:t>
      </w:r>
    </w:p>
    <w:p w:rsidR="00895199" w:rsidRDefault="00FF4CC3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Studia stacjonarne</w:t>
      </w:r>
    </w:p>
    <w:p w:rsidR="00895199" w:rsidRDefault="00895199">
      <w:pPr>
        <w:jc w:val="center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/>
                <w:sz w:val="22"/>
                <w:szCs w:val="22"/>
              </w:rPr>
              <w:t>Filozofia XIX i XX wieku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/>
                <w:sz w:val="22"/>
                <w:szCs w:val="22"/>
                <w:lang w:val="en-US"/>
              </w:rPr>
              <w:t xml:space="preserve">19th and 20th century philosophy </w:t>
            </w:r>
          </w:p>
        </w:tc>
      </w:tr>
    </w:tbl>
    <w:p w:rsidR="00895199" w:rsidRDefault="00895199">
      <w:pPr>
        <w:jc w:val="center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jc w:val="center"/>
        <w:rPr>
          <w:rFonts w:ascii="Arial" w:eastAsia="Arial" w:hAnsi="Arial" w:cs="Arial"/>
          <w:sz w:val="22"/>
          <w:szCs w:val="22"/>
          <w:lang w:val="en-US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dr Andrzej Serafin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Zesp</w:t>
            </w:r>
            <w:r>
              <w:rPr>
                <w:rFonts w:ascii="Arial" w:hAnsi="Arial"/>
                <w:sz w:val="22"/>
                <w:szCs w:val="22"/>
              </w:rPr>
              <w:t xml:space="preserve">ół </w:t>
            </w:r>
            <w:r>
              <w:rPr>
                <w:rFonts w:ascii="Arial" w:hAnsi="Arial"/>
                <w:sz w:val="22"/>
                <w:szCs w:val="22"/>
              </w:rPr>
              <w:t>dydaktyczny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95199" w:rsidRDefault="00895199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6F016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Instytut Socjologii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95199" w:rsidRDefault="00895199"/>
        </w:tc>
      </w:tr>
    </w:tbl>
    <w:p w:rsidR="00895199" w:rsidRDefault="00895199">
      <w:pPr>
        <w:jc w:val="center"/>
        <w:rPr>
          <w:rFonts w:ascii="Arial" w:eastAsia="Arial" w:hAnsi="Arial" w:cs="Arial"/>
          <w:sz w:val="22"/>
          <w:szCs w:val="22"/>
          <w:lang w:val="en-US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Opis kursu (cele kszta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cenia)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>Celem kursu jest om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wienie najwa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niejszych nurt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filozofii XIX i XX wieku, a tak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e pokazanie ich genezy poprzez om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wienie g</w:t>
            </w:r>
            <w:r>
              <w:rPr>
                <w:rFonts w:ascii="Arial" w:hAnsi="Arial"/>
                <w:sz w:val="22"/>
                <w:szCs w:val="22"/>
              </w:rPr>
              <w:t>łó</w:t>
            </w:r>
            <w:r>
              <w:rPr>
                <w:rFonts w:ascii="Arial" w:hAnsi="Arial"/>
                <w:sz w:val="22"/>
                <w:szCs w:val="22"/>
              </w:rPr>
              <w:t>wnych nurt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filozofii europejskiej, z 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rych wywodzi si</w:t>
            </w:r>
            <w:r>
              <w:rPr>
                <w:rFonts w:ascii="Arial" w:hAnsi="Arial"/>
                <w:sz w:val="22"/>
                <w:szCs w:val="22"/>
              </w:rPr>
              <w:t>ę </w:t>
            </w:r>
            <w:r>
              <w:rPr>
                <w:rFonts w:ascii="Arial" w:hAnsi="Arial"/>
                <w:sz w:val="22"/>
                <w:szCs w:val="22"/>
              </w:rPr>
              <w:t>filozofia wsp</w:t>
            </w:r>
            <w:r>
              <w:rPr>
                <w:rFonts w:ascii="Arial" w:hAnsi="Arial"/>
                <w:sz w:val="22"/>
                <w:szCs w:val="22"/>
              </w:rPr>
              <w:t>ół</w:t>
            </w:r>
            <w:r>
              <w:rPr>
                <w:rFonts w:ascii="Arial" w:hAnsi="Arial"/>
                <w:sz w:val="22"/>
                <w:szCs w:val="22"/>
              </w:rPr>
              <w:t>czesna. G</w:t>
            </w:r>
            <w:r>
              <w:rPr>
                <w:rFonts w:ascii="Arial" w:hAnsi="Arial"/>
                <w:sz w:val="22"/>
                <w:szCs w:val="22"/>
              </w:rPr>
              <w:t>łó</w:t>
            </w:r>
            <w:r>
              <w:rPr>
                <w:rFonts w:ascii="Arial" w:hAnsi="Arial"/>
                <w:sz w:val="22"/>
                <w:szCs w:val="22"/>
              </w:rPr>
              <w:t>wnym w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tkiem przewodnim kursu jest rewolucyjny, subwersywny wymiar filozofii, 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ra pocz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wszy od zarania filozofii, jakim jest sokratejski gest podwa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enia panuj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cego status quo, subwersywnie rozsadza obowi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zuj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ce dyskursy hegemoniczne w imi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z</w:t>
            </w:r>
            <w:r>
              <w:rPr>
                <w:rFonts w:ascii="Arial" w:hAnsi="Arial"/>
                <w:sz w:val="22"/>
                <w:szCs w:val="22"/>
              </w:rPr>
              <w:t>aprowadzenia nowego paradygmatu, pe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ni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 funkcj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 xml:space="preserve">katalizatora przemian 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wiadomo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ciowych. Filozofia wsp</w:t>
            </w:r>
            <w:r>
              <w:rPr>
                <w:rFonts w:ascii="Arial" w:hAnsi="Arial"/>
                <w:sz w:val="22"/>
                <w:szCs w:val="22"/>
              </w:rPr>
              <w:t>ół</w:t>
            </w:r>
            <w:r>
              <w:rPr>
                <w:rFonts w:ascii="Arial" w:hAnsi="Arial"/>
                <w:sz w:val="22"/>
                <w:szCs w:val="22"/>
              </w:rPr>
              <w:t>czesna zostanie wyprowadzona z krytycznego potencja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u metafizyki klasycznej, wyra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onego przez alegori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jaskini plato</w:t>
            </w:r>
            <w:r>
              <w:rPr>
                <w:rFonts w:ascii="Arial" w:hAnsi="Arial"/>
                <w:sz w:val="22"/>
                <w:szCs w:val="22"/>
              </w:rPr>
              <w:t>ń</w:t>
            </w:r>
            <w:r>
              <w:rPr>
                <w:rFonts w:ascii="Arial" w:hAnsi="Arial"/>
                <w:sz w:val="22"/>
                <w:szCs w:val="22"/>
              </w:rPr>
              <w:t>skiej, nast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pnie kontynuowana przez</w:t>
            </w:r>
            <w:r>
              <w:rPr>
                <w:rFonts w:ascii="Arial" w:hAnsi="Arial"/>
                <w:sz w:val="22"/>
                <w:szCs w:val="22"/>
              </w:rPr>
              <w:t xml:space="preserve"> g</w:t>
            </w:r>
            <w:r>
              <w:rPr>
                <w:rFonts w:ascii="Arial" w:hAnsi="Arial"/>
                <w:sz w:val="22"/>
                <w:szCs w:val="22"/>
              </w:rPr>
              <w:t>łó</w:t>
            </w:r>
            <w:r>
              <w:rPr>
                <w:rFonts w:ascii="Arial" w:hAnsi="Arial"/>
                <w:sz w:val="22"/>
                <w:szCs w:val="22"/>
              </w:rPr>
              <w:t>wnych my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licieli tradycji racjonalistycznej (Kartezjusz, Spinoza), empirystycznej (Berkeley, Hume) i transcendentalnej (Kant). Z kantowskiego paradygmatu krytycznego wyprowadzona zostanie spekulatywna filozofia Hegla jako g</w:t>
            </w:r>
            <w:r>
              <w:rPr>
                <w:rFonts w:ascii="Arial" w:hAnsi="Arial"/>
                <w:sz w:val="22"/>
                <w:szCs w:val="22"/>
              </w:rPr>
              <w:t>łó</w:t>
            </w:r>
            <w:r>
              <w:rPr>
                <w:rFonts w:ascii="Arial" w:hAnsi="Arial"/>
                <w:sz w:val="22"/>
                <w:szCs w:val="22"/>
              </w:rPr>
              <w:t>wnego fundatora paradygmatu</w:t>
            </w:r>
            <w:r>
              <w:rPr>
                <w:rFonts w:ascii="Arial" w:hAnsi="Arial"/>
                <w:sz w:val="22"/>
                <w:szCs w:val="22"/>
              </w:rPr>
              <w:t xml:space="preserve"> nowoczesno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 (Habermas). Om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wiona zostanie tr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 xml:space="preserve">jca </w:t>
            </w:r>
            <w:r>
              <w:rPr>
                <w:rFonts w:ascii="Arial" w:hAnsi="Arial"/>
                <w:sz w:val="22"/>
                <w:szCs w:val="22"/>
              </w:rPr>
              <w:t>“</w:t>
            </w:r>
            <w:r>
              <w:rPr>
                <w:rFonts w:ascii="Arial" w:hAnsi="Arial"/>
                <w:sz w:val="22"/>
                <w:szCs w:val="22"/>
              </w:rPr>
              <w:t>mistrz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podejrze</w:t>
            </w:r>
            <w:r>
              <w:rPr>
                <w:rFonts w:ascii="Arial" w:hAnsi="Arial"/>
                <w:sz w:val="22"/>
                <w:szCs w:val="22"/>
              </w:rPr>
              <w:t>ń”</w:t>
            </w:r>
            <w:r>
              <w:rPr>
                <w:rFonts w:ascii="Arial" w:hAnsi="Arial"/>
                <w:sz w:val="22"/>
                <w:szCs w:val="22"/>
              </w:rPr>
              <w:t>: Marksa, Nietzschego i Freuda jako g</w:t>
            </w:r>
            <w:r>
              <w:rPr>
                <w:rFonts w:ascii="Arial" w:hAnsi="Arial"/>
                <w:sz w:val="22"/>
                <w:szCs w:val="22"/>
              </w:rPr>
              <w:t>łó</w:t>
            </w:r>
            <w:r>
              <w:rPr>
                <w:rFonts w:ascii="Arial" w:hAnsi="Arial"/>
                <w:sz w:val="22"/>
                <w:szCs w:val="22"/>
              </w:rPr>
              <w:t>wnych filozof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prze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omu XIX i XX wieku dokonuj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cych rewizji paradygmatu nowoczesno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ci. Zostan</w:t>
            </w:r>
            <w:r>
              <w:rPr>
                <w:rFonts w:ascii="Arial" w:hAnsi="Arial"/>
                <w:sz w:val="22"/>
                <w:szCs w:val="22"/>
              </w:rPr>
              <w:t>ą </w:t>
            </w:r>
            <w:r>
              <w:rPr>
                <w:rFonts w:ascii="Arial" w:hAnsi="Arial"/>
                <w:sz w:val="22"/>
                <w:szCs w:val="22"/>
              </w:rPr>
              <w:t>om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wione g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owne nurty filozofii XX wieku z nacisk</w:t>
            </w:r>
            <w:r>
              <w:rPr>
                <w:rFonts w:ascii="Arial" w:hAnsi="Arial"/>
                <w:sz w:val="22"/>
                <w:szCs w:val="22"/>
              </w:rPr>
              <w:t>iem na fenomenologi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i metafizyk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Warunki wst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pne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r>
              <w:rPr>
                <w:rFonts w:ascii="Arial" w:hAnsi="Arial"/>
                <w:sz w:val="22"/>
                <w:szCs w:val="22"/>
              </w:rPr>
              <w:t>Znajomo</w:t>
            </w:r>
            <w:r>
              <w:rPr>
                <w:rFonts w:ascii="Arial" w:hAnsi="Arial"/>
                <w:sz w:val="22"/>
                <w:szCs w:val="22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</w:rPr>
              <w:t>podstawowych zagadnie</w:t>
            </w:r>
            <w:r>
              <w:rPr>
                <w:rFonts w:ascii="Arial" w:hAnsi="Arial"/>
                <w:sz w:val="22"/>
                <w:szCs w:val="22"/>
              </w:rPr>
              <w:t xml:space="preserve">ń </w:t>
            </w:r>
            <w:r>
              <w:rPr>
                <w:rFonts w:ascii="Arial" w:hAnsi="Arial"/>
                <w:sz w:val="22"/>
                <w:szCs w:val="22"/>
              </w:rPr>
              <w:t>filozofii staro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 xml:space="preserve">ytnej, 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redniowiecznej i nowo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ytnej wyniesiona ze szko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 xml:space="preserve">y 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redniej.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Umiej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tno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Efekty uczenia si</w:t>
      </w:r>
      <w:r>
        <w:rPr>
          <w:rFonts w:ascii="Arial" w:hAnsi="Arial"/>
          <w:sz w:val="22"/>
          <w:szCs w:val="22"/>
        </w:rPr>
        <w:t>ę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Efekt uczenia si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Odniesienie do efekt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kierunkowych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W01 Student/ka ma elementarn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wiedz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o powi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zaniach literaturoznawstwa, nauk o kulturze i religii oraz nauk o komunikacji spo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ecznej i mediach z filozofi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>W02 Student/ka ma podstawow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wiedz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 xml:space="preserve">z zakresu </w:t>
            </w:r>
            <w:r>
              <w:rPr>
                <w:rFonts w:ascii="Arial" w:hAnsi="Arial"/>
                <w:sz w:val="22"/>
                <w:szCs w:val="22"/>
              </w:rPr>
              <w:t>filozofii.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K_W02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</w:p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>K_W05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Umiej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tno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Efekt uczenia si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Odniesienie do efekt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kierunkowych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U01 Student/ka rozpoznaje r</w:t>
            </w:r>
            <w:r>
              <w:rPr>
                <w:rFonts w:ascii="Arial" w:hAnsi="Arial"/>
                <w:sz w:val="22"/>
                <w:szCs w:val="22"/>
              </w:rPr>
              <w:t>óż</w:t>
            </w:r>
            <w:r>
              <w:rPr>
                <w:rFonts w:ascii="Arial" w:hAnsi="Arial"/>
                <w:sz w:val="22"/>
                <w:szCs w:val="22"/>
              </w:rPr>
              <w:t>norodne wytwory kultury filozoficznej, i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okre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la ich miejsce w kontek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cie kulturowym i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obiegach kultury.</w:t>
            </w:r>
          </w:p>
          <w:p w:rsidR="00895199" w:rsidRDefault="00895199"/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r>
              <w:rPr>
                <w:rFonts w:ascii="Arial" w:hAnsi="Arial"/>
                <w:sz w:val="22"/>
                <w:szCs w:val="22"/>
              </w:rPr>
              <w:t>K_U06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Kompetencje spo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Efekt uczenia si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Odniesienie do efekt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kierunkowych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K01 Student/ka rozumie potrzeb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ustawicznego kszta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cenia i zdobywania wiedzy.</w:t>
            </w: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 xml:space="preserve">K02 Student/ka ma 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wiadomo</w:t>
            </w:r>
            <w:r>
              <w:rPr>
                <w:rFonts w:ascii="Arial" w:hAnsi="Arial"/>
                <w:sz w:val="22"/>
                <w:szCs w:val="22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</w:rPr>
              <w:t>poziomu nabytej wiedzy i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umiej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tno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ci, pog</w:t>
            </w:r>
            <w:r>
              <w:rPr>
                <w:rFonts w:ascii="Arial" w:hAnsi="Arial"/>
                <w:sz w:val="22"/>
                <w:szCs w:val="22"/>
              </w:rPr>
              <w:t>łę</w:t>
            </w:r>
            <w:r>
              <w:rPr>
                <w:rFonts w:ascii="Arial" w:hAnsi="Arial"/>
                <w:sz w:val="22"/>
                <w:szCs w:val="22"/>
              </w:rPr>
              <w:t>bia je i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aktualizuje oraz integruje z pozosta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ymi dziedzinami wiedzy.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K_K01</w:t>
            </w:r>
          </w:p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r>
              <w:rPr>
                <w:rFonts w:ascii="Arial" w:hAnsi="Arial"/>
                <w:sz w:val="22"/>
                <w:szCs w:val="22"/>
              </w:rPr>
              <w:t>K_K06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49"/>
        <w:gridCol w:w="272"/>
        <w:gridCol w:w="861"/>
        <w:gridCol w:w="315"/>
        <w:gridCol w:w="818"/>
        <w:gridCol w:w="284"/>
        <w:gridCol w:w="849"/>
        <w:gridCol w:w="284"/>
        <w:gridCol w:w="849"/>
        <w:gridCol w:w="284"/>
        <w:gridCol w:w="849"/>
        <w:gridCol w:w="286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/>
                <w:sz w:val="22"/>
                <w:szCs w:val="22"/>
              </w:rPr>
              <w:t>Organizacja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Forma zaj</w:t>
            </w:r>
            <w:r>
              <w:rPr>
                <w:rFonts w:ascii="Arial" w:hAnsi="Arial"/>
                <w:sz w:val="22"/>
                <w:szCs w:val="22"/>
              </w:rPr>
              <w:t>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Wyk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ad</w:t>
            </w:r>
          </w:p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Ć</w:t>
            </w:r>
            <w:r>
              <w:rPr>
                <w:rFonts w:ascii="Arial" w:hAnsi="Arial"/>
                <w:sz w:val="22"/>
                <w:szCs w:val="22"/>
              </w:rPr>
              <w:t>wiczenia w grupach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95199" w:rsidRDefault="00895199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K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E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g</w:t>
            </w:r>
            <w:r>
              <w:rPr>
                <w:rFonts w:ascii="Arial" w:hAnsi="Arial"/>
                <w:sz w:val="22"/>
                <w:szCs w:val="22"/>
              </w:rPr>
              <w:t>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895199"/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Opis metod prowadzenia zaj</w:t>
      </w:r>
      <w:r>
        <w:rPr>
          <w:rFonts w:ascii="Arial" w:hAnsi="Arial"/>
          <w:sz w:val="22"/>
          <w:szCs w:val="22"/>
        </w:rPr>
        <w:t>ęć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pStyle w:val="Zawartotabeli"/>
              <w:jc w:val="both"/>
            </w:pPr>
            <w:r>
              <w:rPr>
                <w:rFonts w:ascii="Arial" w:hAnsi="Arial"/>
                <w:sz w:val="22"/>
                <w:szCs w:val="22"/>
              </w:rPr>
              <w:t>Wyk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ad z elementami konwersatorium oraz pracy z tekstami filozoficznymi.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pStyle w:val="Zawartotabeli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Formy sprawdzania efekt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uczenia si</w:t>
      </w:r>
      <w:r>
        <w:rPr>
          <w:rFonts w:ascii="Arial" w:hAnsi="Arial"/>
          <w:sz w:val="22"/>
          <w:szCs w:val="22"/>
        </w:rPr>
        <w:t>ę</w:t>
      </w: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909"/>
        <w:gridCol w:w="525"/>
        <w:gridCol w:w="666"/>
        <w:gridCol w:w="666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895199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 xml:space="preserve">E </w:t>
            </w:r>
            <w:r>
              <w:rPr>
                <w:rFonts w:ascii="Arial" w:hAnsi="Arial"/>
                <w:sz w:val="22"/>
                <w:szCs w:val="22"/>
              </w:rPr>
              <w:t xml:space="preserve">– </w:t>
            </w:r>
            <w:r>
              <w:rPr>
                <w:rFonts w:ascii="Arial" w:hAnsi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Ć</w:t>
            </w:r>
            <w:r>
              <w:rPr>
                <w:rFonts w:ascii="Arial" w:hAnsi="Arial"/>
                <w:sz w:val="22"/>
                <w:szCs w:val="22"/>
              </w:rPr>
              <w:t>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Zaj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 xml:space="preserve">Praca </w:t>
            </w:r>
            <w:r>
              <w:rPr>
                <w:rFonts w:ascii="Arial" w:hAnsi="Arial"/>
                <w:sz w:val="22"/>
                <w:szCs w:val="22"/>
              </w:rPr>
              <w:t>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Udzia</w:t>
            </w:r>
            <w:r>
              <w:rPr>
                <w:rFonts w:ascii="Arial" w:hAnsi="Arial"/>
                <w:sz w:val="22"/>
                <w:szCs w:val="22"/>
              </w:rPr>
              <w:t xml:space="preserve">ł </w:t>
            </w:r>
            <w:r>
              <w:rPr>
                <w:rFonts w:ascii="Arial" w:hAnsi="Arial"/>
                <w:sz w:val="22"/>
                <w:szCs w:val="22"/>
              </w:rPr>
              <w:t>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Referat</w:t>
            </w:r>
          </w:p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Praca pisemna (esej)</w:t>
            </w:r>
          </w:p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895199" w:rsidRDefault="00FF4CC3">
            <w:pPr>
              <w:ind w:left="113" w:right="113"/>
              <w:jc w:val="center"/>
            </w:pPr>
            <w:r>
              <w:rPr>
                <w:rFonts w:ascii="Arial" w:hAnsi="Arial"/>
                <w:sz w:val="22"/>
                <w:szCs w:val="22"/>
              </w:rPr>
              <w:t>Inne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Tekstdymka"/>
              <w:jc w:val="center"/>
            </w:pPr>
            <w:r>
              <w:rPr>
                <w:rFonts w:ascii="Arial" w:hAnsi="Arial"/>
                <w:sz w:val="22"/>
                <w:szCs w:val="22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right"/>
            </w:pPr>
            <w:r>
              <w:rPr>
                <w:rFonts w:ascii="Arial" w:hAnsi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right"/>
            </w:pPr>
            <w:r>
              <w:rPr>
                <w:rFonts w:ascii="Arial" w:hAnsi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right"/>
            </w:pPr>
            <w:r>
              <w:rPr>
                <w:rFonts w:ascii="Arial" w:hAnsi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right"/>
            </w:pPr>
            <w:r>
              <w:rPr>
                <w:rFonts w:ascii="Arial" w:hAnsi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jc w:val="center"/>
            </w:pPr>
            <w:r>
              <w:rPr>
                <w:rFonts w:ascii="Arial" w:hAnsi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jc w:val="right"/>
            </w:pPr>
            <w:r>
              <w:rPr>
                <w:rFonts w:ascii="Arial" w:hAnsi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5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/>
        </w:tc>
      </w:tr>
    </w:tbl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895199" w:rsidRDefault="00FF4CC3">
            <w:pPr>
              <w:pStyle w:val="Zawartotabeli"/>
              <w:spacing w:before="57" w:after="57"/>
            </w:pPr>
            <w:r>
              <w:rPr>
                <w:rFonts w:ascii="Arial" w:hAnsi="Arial"/>
                <w:sz w:val="22"/>
                <w:szCs w:val="22"/>
              </w:rPr>
              <w:t>Zaliczenie na podstawie obecno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 oraz aktywnego udzia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u w zaj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 xml:space="preserve">ciach. </w:t>
            </w:r>
          </w:p>
        </w:tc>
      </w:tr>
    </w:tbl>
    <w:p w:rsidR="00895199" w:rsidRDefault="0089519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spacing w:after="57"/>
              <w:jc w:val="center"/>
            </w:pPr>
            <w:r>
              <w:rPr>
                <w:rFonts w:ascii="Arial" w:hAnsi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FF4CC3">
            <w:pPr>
              <w:pStyle w:val="Zawartotabeli"/>
              <w:spacing w:before="57" w:after="57"/>
            </w:pPr>
            <w:r>
              <w:rPr>
                <w:rFonts w:ascii="Arial" w:hAnsi="Arial"/>
                <w:sz w:val="22"/>
                <w:szCs w:val="22"/>
              </w:rPr>
              <w:t>Mo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na mie</w:t>
            </w:r>
            <w:r>
              <w:rPr>
                <w:rFonts w:ascii="Arial" w:hAnsi="Arial"/>
                <w:sz w:val="22"/>
                <w:szCs w:val="22"/>
              </w:rPr>
              <w:t xml:space="preserve">ć </w:t>
            </w:r>
            <w:r>
              <w:rPr>
                <w:rFonts w:ascii="Arial" w:hAnsi="Arial"/>
                <w:sz w:val="22"/>
                <w:szCs w:val="22"/>
              </w:rPr>
              <w:t>tylko jedn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nieobecno</w:t>
            </w:r>
            <w:r>
              <w:rPr>
                <w:rFonts w:ascii="Arial" w:hAnsi="Arial"/>
                <w:sz w:val="22"/>
                <w:szCs w:val="22"/>
              </w:rPr>
              <w:t xml:space="preserve">ść </w:t>
            </w:r>
            <w:r>
              <w:rPr>
                <w:rFonts w:ascii="Arial" w:hAnsi="Arial"/>
                <w:sz w:val="22"/>
                <w:szCs w:val="22"/>
              </w:rPr>
              <w:t>na zaj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ciach. Pozosta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e nieobecno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 b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odrabiane.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Tre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 merytoryczne (wykaz temat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w)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>
            <w:pPr>
              <w:pStyle w:val="Tekstdymka"/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pPr>
              <w:pStyle w:val="Tekstdymka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Metafizyka: Platon i Arystoteles</w:t>
            </w:r>
          </w:p>
          <w:p w:rsidR="00895199" w:rsidRDefault="00FF4CC3">
            <w:pPr>
              <w:pStyle w:val="Tekstdymka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2. </w:t>
            </w:r>
            <w:r>
              <w:rPr>
                <w:rFonts w:ascii="Arial" w:hAnsi="Arial"/>
                <w:sz w:val="22"/>
                <w:szCs w:val="22"/>
              </w:rPr>
              <w:t>Racjonalizm: Kartezjusz, Spinoza, Leibniz</w:t>
            </w:r>
          </w:p>
          <w:p w:rsidR="00895199" w:rsidRDefault="00FF4CC3">
            <w:pPr>
              <w:pStyle w:val="Tekstdymka"/>
            </w:pPr>
            <w:r>
              <w:rPr>
                <w:rFonts w:ascii="Arial" w:hAnsi="Arial"/>
                <w:sz w:val="22"/>
                <w:szCs w:val="22"/>
              </w:rPr>
              <w:t>3. Empiryzm: Locke, Berkeley i Hume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4. Analityka transcendentalna czystego rozumu Kanta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5. Poeci-filozofowie: Goethe, H</w:t>
            </w:r>
            <w:r>
              <w:rPr>
                <w:rFonts w:ascii="Arial" w:hAnsi="Arial"/>
                <w:sz w:val="22"/>
                <w:szCs w:val="22"/>
              </w:rPr>
              <w:t>ö</w:t>
            </w:r>
            <w:r>
              <w:rPr>
                <w:rFonts w:ascii="Arial" w:hAnsi="Arial"/>
                <w:sz w:val="22"/>
                <w:szCs w:val="22"/>
              </w:rPr>
              <w:t>lderlin, Rilke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7. Spekulatywna filozofia umys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u Hegla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8. Metafizyka woli: Schopenhauer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9. Mist</w:t>
            </w:r>
            <w:r>
              <w:rPr>
                <w:rFonts w:ascii="Arial" w:hAnsi="Arial"/>
                <w:sz w:val="22"/>
                <w:szCs w:val="22"/>
              </w:rPr>
              <w:t>rzowie podejrze</w:t>
            </w:r>
            <w:r>
              <w:rPr>
                <w:rFonts w:ascii="Arial" w:hAnsi="Arial"/>
                <w:sz w:val="22"/>
                <w:szCs w:val="22"/>
              </w:rPr>
              <w:t xml:space="preserve">ń </w:t>
            </w:r>
            <w:r>
              <w:rPr>
                <w:rFonts w:ascii="Arial" w:hAnsi="Arial"/>
                <w:sz w:val="22"/>
                <w:szCs w:val="22"/>
              </w:rPr>
              <w:t>I: Marks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10. Mistrzowie podejrze</w:t>
            </w:r>
            <w:r>
              <w:rPr>
                <w:rFonts w:ascii="Arial" w:hAnsi="Arial"/>
                <w:sz w:val="22"/>
                <w:szCs w:val="22"/>
              </w:rPr>
              <w:t xml:space="preserve">ń </w:t>
            </w:r>
            <w:r>
              <w:rPr>
                <w:rFonts w:ascii="Arial" w:hAnsi="Arial"/>
                <w:sz w:val="22"/>
                <w:szCs w:val="22"/>
              </w:rPr>
              <w:t>II: Nietzsche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[11. Mistrzowie podejrze</w:t>
            </w:r>
            <w:r>
              <w:rPr>
                <w:rFonts w:ascii="Arial" w:hAnsi="Arial"/>
                <w:sz w:val="22"/>
                <w:szCs w:val="22"/>
              </w:rPr>
              <w:t xml:space="preserve">ń </w:t>
            </w:r>
            <w:r>
              <w:rPr>
                <w:rFonts w:ascii="Arial" w:hAnsi="Arial"/>
                <w:sz w:val="22"/>
                <w:szCs w:val="22"/>
              </w:rPr>
              <w:t>III: Freud]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12. Fenomenologia: Brentano, Husserl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13. Restytucja metafizyki: Heidegger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14. Neuronauka, neurofenomenologia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literatury podstawowej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5199" w:rsidRDefault="0089519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Teksty </w:t>
            </w:r>
            <w:r>
              <w:rPr>
                <w:rFonts w:ascii="Arial" w:hAnsi="Arial"/>
                <w:sz w:val="22"/>
                <w:szCs w:val="22"/>
              </w:rPr>
              <w:t>ź</w:t>
            </w: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owe:</w:t>
            </w:r>
          </w:p>
          <w:p w:rsidR="00895199" w:rsidRDefault="00895199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Platon, Pa</w:t>
            </w:r>
            <w:r>
              <w:rPr>
                <w:rFonts w:ascii="Arial" w:hAnsi="Arial"/>
                <w:sz w:val="22"/>
                <w:szCs w:val="22"/>
              </w:rPr>
              <w:t>ń</w:t>
            </w:r>
            <w:r>
              <w:rPr>
                <w:rFonts w:ascii="Arial" w:hAnsi="Arial"/>
                <w:sz w:val="22"/>
                <w:szCs w:val="22"/>
              </w:rPr>
              <w:t>stwo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Kartezjusz, Medytacje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B. Spinoza, Etyka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G. W. F. Leibniz, Monadologia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I. Kant, Krytyka czystego rozumu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G. W. F. Hegel, Fenomenologia ducha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 xml:space="preserve">A. Schopenhauer, 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wiat jako wola i przdstawienie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K. Marks, Cz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owiek i socjalizm. Wyb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r pism</w:t>
            </w: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F. Nietzsche, Tako rzecze Zaratustra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 xml:space="preserve">Z. Freud, Kultura jako </w:t>
            </w:r>
            <w:r>
              <w:rPr>
                <w:rFonts w:ascii="Arial" w:hAnsi="Arial"/>
                <w:sz w:val="22"/>
                <w:szCs w:val="22"/>
              </w:rPr>
              <w:t>ź</w:t>
            </w:r>
            <w:r>
              <w:rPr>
                <w:rFonts w:ascii="Arial" w:hAnsi="Arial"/>
                <w:sz w:val="22"/>
                <w:szCs w:val="22"/>
              </w:rPr>
              <w:t>rod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 cierpie</w:t>
            </w:r>
            <w:r>
              <w:rPr>
                <w:rFonts w:ascii="Arial" w:hAnsi="Arial"/>
                <w:sz w:val="22"/>
                <w:szCs w:val="22"/>
              </w:rPr>
              <w:t>ń</w:t>
            </w:r>
            <w:r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M. Heidegger, Bycie i czas</w:t>
            </w:r>
          </w:p>
          <w:p w:rsidR="00895199" w:rsidRDefault="00895199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Opracowania: 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J. Habermas, Filozoficzny dyskurs nowoczesnos</w:t>
            </w:r>
            <w:r>
              <w:rPr>
                <w:rFonts w:ascii="Arial" w:hAnsi="Arial"/>
                <w:sz w:val="22"/>
                <w:szCs w:val="22"/>
              </w:rPr>
              <w:t>́</w:t>
            </w:r>
            <w:r>
              <w:rPr>
                <w:rFonts w:ascii="Arial" w:hAnsi="Arial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J. Habermas, Modernizm. Niedokon</w:t>
            </w:r>
            <w:r>
              <w:rPr>
                <w:rFonts w:ascii="Arial" w:hAnsi="Arial"/>
                <w:sz w:val="22"/>
                <w:szCs w:val="22"/>
              </w:rPr>
              <w:t>́</w:t>
            </w:r>
            <w:r>
              <w:rPr>
                <w:rFonts w:ascii="Arial" w:hAnsi="Arial"/>
                <w:sz w:val="22"/>
                <w:szCs w:val="22"/>
              </w:rPr>
              <w:t>czony projekt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K. L</w:t>
            </w:r>
            <w:r>
              <w:rPr>
                <w:rFonts w:ascii="Arial" w:hAnsi="Arial"/>
                <w:sz w:val="22"/>
                <w:szCs w:val="22"/>
              </w:rPr>
              <w:t>ö</w:t>
            </w:r>
            <w:r>
              <w:rPr>
                <w:rFonts w:ascii="Arial" w:hAnsi="Arial"/>
                <w:sz w:val="22"/>
                <w:szCs w:val="22"/>
              </w:rPr>
              <w:t xml:space="preserve">with, Od Hegla do Nietzschego. </w:t>
            </w:r>
            <w:r>
              <w:rPr>
                <w:rFonts w:ascii="Arial" w:hAnsi="Arial"/>
                <w:sz w:val="22"/>
                <w:szCs w:val="22"/>
              </w:rPr>
              <w:t>Rewolucyjny prze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om w my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li XIX wieku</w:t>
            </w:r>
          </w:p>
          <w:p w:rsidR="00895199" w:rsidRDefault="00FF4CC3">
            <w:pPr>
              <w:ind w:left="720"/>
            </w:pPr>
            <w:r>
              <w:rPr>
                <w:rFonts w:ascii="Arial" w:hAnsi="Arial"/>
                <w:sz w:val="22"/>
                <w:szCs w:val="22"/>
              </w:rPr>
              <w:t>H. Schn</w:t>
            </w:r>
            <w:r>
              <w:rPr>
                <w:rFonts w:ascii="Arial" w:hAnsi="Arial"/>
                <w:sz w:val="22"/>
                <w:szCs w:val="22"/>
              </w:rPr>
              <w:t>ä</w:t>
            </w:r>
            <w:r>
              <w:rPr>
                <w:rFonts w:ascii="Arial" w:hAnsi="Arial"/>
                <w:sz w:val="22"/>
                <w:szCs w:val="22"/>
              </w:rPr>
              <w:t>delbach, Filozofia w Niemczech 1831-1933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E.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Gilson, T.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Langman, A. A.</w:t>
            </w:r>
            <w:r>
              <w:rPr>
                <w:rFonts w:ascii="Arial" w:hAnsi="Arial"/>
                <w:sz w:val="22"/>
                <w:szCs w:val="22"/>
              </w:rPr>
              <w:t> </w:t>
            </w:r>
            <w:r>
              <w:rPr>
                <w:rFonts w:ascii="Arial" w:hAnsi="Arial"/>
                <w:sz w:val="22"/>
                <w:szCs w:val="22"/>
              </w:rPr>
              <w:t>Maurer, Historia filozofii wsp</w:t>
            </w:r>
            <w:r>
              <w:rPr>
                <w:rFonts w:ascii="Arial" w:hAnsi="Arial"/>
                <w:sz w:val="22"/>
                <w:szCs w:val="22"/>
              </w:rPr>
              <w:t>ół</w:t>
            </w:r>
            <w:r>
              <w:rPr>
                <w:rFonts w:ascii="Arial" w:hAnsi="Arial"/>
                <w:sz w:val="22"/>
                <w:szCs w:val="22"/>
              </w:rPr>
              <w:t>czesnej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E. Coreth, Filozofia XIX wieku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E. Coreth, Filozofia XX wieku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literatury uzupe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niaj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cej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140" w:type="dxa"/>
              <w:bottom w:w="80" w:type="dxa"/>
              <w:right w:w="80" w:type="dxa"/>
            </w:tcMar>
          </w:tcPr>
          <w:p w:rsidR="00895199" w:rsidRDefault="00895199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:rsidR="00895199" w:rsidRDefault="00FF4CC3">
            <w:pPr>
              <w:ind w:left="720"/>
            </w:pPr>
            <w:r>
              <w:rPr>
                <w:rFonts w:ascii="Arial" w:hAnsi="Arial"/>
                <w:sz w:val="22"/>
                <w:szCs w:val="22"/>
              </w:rPr>
              <w:t>R. Bubner, Modern German Philosophy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A. W. Wood, The Cambridge History of Philosophy in the Nineteenth Century 1790-1870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T. Baldwin, The Cambridge History of Philosophy 1870</w:t>
            </w:r>
            <w:r>
              <w:rPr>
                <w:rFonts w:ascii="Arial" w:hAnsi="Arial"/>
                <w:sz w:val="22"/>
                <w:szCs w:val="22"/>
              </w:rPr>
              <w:t>–</w:t>
            </w:r>
            <w:r>
              <w:rPr>
                <w:rFonts w:ascii="Arial" w:hAnsi="Arial"/>
                <w:sz w:val="22"/>
                <w:szCs w:val="22"/>
              </w:rPr>
              <w:t>1945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K. Becker, D. Thomson, The Cambridge History of Philosophy 1945</w:t>
            </w:r>
            <w:r>
              <w:rPr>
                <w:rFonts w:ascii="Arial" w:hAnsi="Arial"/>
                <w:sz w:val="22"/>
                <w:szCs w:val="22"/>
              </w:rPr>
              <w:t>–</w:t>
            </w:r>
            <w:r>
              <w:rPr>
                <w:rFonts w:ascii="Arial" w:hAnsi="Arial"/>
                <w:sz w:val="22"/>
                <w:szCs w:val="22"/>
              </w:rPr>
              <w:t>2015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J. Frank,</w:t>
            </w:r>
            <w:r>
              <w:rPr>
                <w:rFonts w:ascii="Arial" w:hAnsi="Arial"/>
                <w:sz w:val="22"/>
                <w:szCs w:val="22"/>
              </w:rPr>
              <w:t xml:space="preserve"> The Oxford Handbook of Contemporary Philosophy</w:t>
            </w:r>
          </w:p>
        </w:tc>
      </w:tr>
    </w:tbl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895199">
      <w:pPr>
        <w:pStyle w:val="Tekstdymka"/>
        <w:rPr>
          <w:rFonts w:ascii="Arial" w:eastAsia="Arial" w:hAnsi="Arial" w:cs="Arial"/>
          <w:sz w:val="22"/>
          <w:szCs w:val="22"/>
        </w:rPr>
      </w:pPr>
    </w:p>
    <w:p w:rsidR="00895199" w:rsidRDefault="00FF4CC3">
      <w:pPr>
        <w:pStyle w:val="Tekstdymka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Bilans godzinowy zgodny z CNPS (Ca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kowity Nak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ad Pracy Studenta)</w:t>
      </w:r>
    </w:p>
    <w:p w:rsidR="00895199" w:rsidRDefault="00895199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godzin w kontakcie z prowadz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Wyk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>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Konwersatorium (</w:t>
            </w:r>
            <w:r>
              <w:rPr>
                <w:rFonts w:ascii="Arial" w:hAnsi="Arial"/>
                <w:sz w:val="22"/>
                <w:szCs w:val="22"/>
              </w:rPr>
              <w:t>ć</w:t>
            </w:r>
            <w:r>
              <w:rPr>
                <w:rFonts w:ascii="Arial" w:hAnsi="Arial"/>
                <w:sz w:val="22"/>
                <w:szCs w:val="22"/>
              </w:rPr>
              <w:t>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Pozosta</w:t>
            </w:r>
            <w:r>
              <w:rPr>
                <w:rFonts w:ascii="Arial" w:hAnsi="Arial"/>
                <w:sz w:val="22"/>
                <w:szCs w:val="22"/>
              </w:rPr>
              <w:t>ł</w:t>
            </w:r>
            <w:r>
              <w:rPr>
                <w:rFonts w:ascii="Arial" w:hAnsi="Arial"/>
                <w:sz w:val="22"/>
                <w:szCs w:val="22"/>
              </w:rPr>
              <w:t xml:space="preserve">e godziny kontaktu </w:t>
            </w:r>
            <w:r>
              <w:rPr>
                <w:rFonts w:ascii="Arial" w:hAnsi="Arial"/>
                <w:sz w:val="22"/>
                <w:szCs w:val="22"/>
              </w:rPr>
              <w:t>studenta z prowadz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godzin pracy studenta bez kontaktu z prowadz</w:t>
            </w:r>
            <w:r>
              <w:rPr>
                <w:rFonts w:ascii="Arial" w:hAnsi="Arial"/>
                <w:sz w:val="22"/>
                <w:szCs w:val="22"/>
              </w:rPr>
              <w:t>ą</w:t>
            </w:r>
            <w:r>
              <w:rPr>
                <w:rFonts w:ascii="Arial" w:hAnsi="Arial"/>
                <w:sz w:val="22"/>
                <w:szCs w:val="22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Lektura w ramach przygotowania do zaj</w:t>
            </w:r>
            <w:r>
              <w:rPr>
                <w:rFonts w:ascii="Arial" w:hAnsi="Arial"/>
                <w:sz w:val="22"/>
                <w:szCs w:val="22"/>
              </w:rPr>
              <w:t>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14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Przygotowanie kr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tkiej pracy pisemnej lub referatu po zapoznaniu si</w:t>
            </w:r>
            <w:r>
              <w:rPr>
                <w:rFonts w:ascii="Arial" w:hAnsi="Arial"/>
                <w:sz w:val="22"/>
                <w:szCs w:val="22"/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</w:rPr>
              <w:t>z niezb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dn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literatur</w:t>
            </w:r>
            <w:r>
              <w:rPr>
                <w:rFonts w:ascii="Arial" w:hAnsi="Arial"/>
                <w:sz w:val="22"/>
                <w:szCs w:val="22"/>
              </w:rPr>
              <w:t xml:space="preserve">ą </w:t>
            </w:r>
            <w:r>
              <w:rPr>
                <w:rFonts w:ascii="Arial" w:hAnsi="Arial"/>
                <w:sz w:val="22"/>
                <w:szCs w:val="22"/>
              </w:rPr>
              <w:t>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 xml:space="preserve">Przygotowanie </w:t>
            </w:r>
            <w:r>
              <w:rPr>
                <w:rFonts w:ascii="Arial" w:hAnsi="Arial"/>
                <w:sz w:val="22"/>
                <w:szCs w:val="22"/>
              </w:rPr>
              <w:t>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95199" w:rsidRDefault="00895199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Og</w:t>
            </w:r>
            <w:r>
              <w:rPr>
                <w:rFonts w:ascii="Arial" w:hAnsi="Arial"/>
                <w:sz w:val="22"/>
                <w:szCs w:val="22"/>
              </w:rPr>
              <w:t>ół</w:t>
            </w:r>
            <w:r>
              <w:rPr>
                <w:rFonts w:ascii="Arial" w:hAnsi="Arial"/>
                <w:sz w:val="22"/>
                <w:szCs w:val="22"/>
              </w:rPr>
              <w:t>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</w:tr>
      <w:tr w:rsidR="00895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punkt</w:t>
            </w:r>
            <w:r>
              <w:rPr>
                <w:rFonts w:ascii="Arial" w:hAnsi="Arial"/>
                <w:sz w:val="22"/>
                <w:szCs w:val="22"/>
              </w:rPr>
              <w:t>ó</w:t>
            </w:r>
            <w:r>
              <w:rPr>
                <w:rFonts w:ascii="Arial" w:hAnsi="Arial"/>
                <w:sz w:val="22"/>
                <w:szCs w:val="22"/>
              </w:rPr>
              <w:t>w ECTS w zale</w:t>
            </w:r>
            <w:r>
              <w:rPr>
                <w:rFonts w:ascii="Arial" w:hAnsi="Arial"/>
                <w:sz w:val="22"/>
                <w:szCs w:val="22"/>
              </w:rPr>
              <w:t>ż</w:t>
            </w:r>
            <w:r>
              <w:rPr>
                <w:rFonts w:ascii="Arial" w:hAnsi="Arial"/>
                <w:sz w:val="22"/>
                <w:szCs w:val="22"/>
              </w:rPr>
              <w:t>no</w:t>
            </w:r>
            <w:r>
              <w:rPr>
                <w:rFonts w:ascii="Arial" w:hAnsi="Arial"/>
                <w:sz w:val="22"/>
                <w:szCs w:val="22"/>
              </w:rPr>
              <w:t>ś</w:t>
            </w:r>
            <w:r>
              <w:rPr>
                <w:rFonts w:ascii="Arial" w:hAnsi="Arial"/>
                <w:sz w:val="22"/>
                <w:szCs w:val="22"/>
              </w:rPr>
              <w:t>ci od przyj</w:t>
            </w:r>
            <w:r>
              <w:rPr>
                <w:rFonts w:ascii="Arial" w:hAnsi="Arial"/>
                <w:sz w:val="22"/>
                <w:szCs w:val="22"/>
              </w:rPr>
              <w:t>ę</w:t>
            </w:r>
            <w:r>
              <w:rPr>
                <w:rFonts w:ascii="Arial" w:hAnsi="Arial"/>
                <w:sz w:val="22"/>
                <w:szCs w:val="22"/>
              </w:rPr>
              <w:t>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895199" w:rsidRDefault="00FF4CC3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</w:tbl>
    <w:p w:rsidR="00895199" w:rsidRDefault="00895199"/>
    <w:sectPr w:rsidR="00895199">
      <w:headerReference w:type="default" r:id="rId6"/>
      <w:footerReference w:type="default" r:id="rId7"/>
      <w:pgSz w:w="11900" w:h="16840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CC3" w:rsidRDefault="00FF4CC3">
      <w:r>
        <w:separator/>
      </w:r>
    </w:p>
  </w:endnote>
  <w:endnote w:type="continuationSeparator" w:id="0">
    <w:p w:rsidR="00FF4CC3" w:rsidRDefault="00FF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199" w:rsidRDefault="00FF4CC3">
    <w:pPr>
      <w:pStyle w:val="Stopka"/>
      <w:jc w:val="right"/>
    </w:pPr>
    <w:r>
      <w:fldChar w:fldCharType="begin"/>
    </w:r>
    <w:r>
      <w:instrText xml:space="preserve"> PAGE </w:instrText>
    </w:r>
    <w:r w:rsidR="006F0163">
      <w:fldChar w:fldCharType="separate"/>
    </w:r>
    <w:r w:rsidR="006F016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CC3" w:rsidRDefault="00FF4CC3">
      <w:r>
        <w:separator/>
      </w:r>
    </w:p>
  </w:footnote>
  <w:footnote w:type="continuationSeparator" w:id="0">
    <w:p w:rsidR="00FF4CC3" w:rsidRDefault="00FF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199" w:rsidRDefault="0089519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99"/>
    <w:rsid w:val="006F0163"/>
    <w:rsid w:val="0089519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9153"/>
  <w15:docId w15:val="{D1BAFC8B-9BE8-40C6-A90E-46CE6C37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uppressAutoHyphens/>
      <w:jc w:val="center"/>
      <w:outlineLvl w:val="0"/>
    </w:pPr>
    <w:rPr>
      <w:rFonts w:ascii="Verdana" w:hAnsi="Verdana" w:cs="Arial Unicode MS"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hAnsi="Tahoma" w:cs="Arial Unicode MS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2024-11-08T09:22:00Z</dcterms:created>
  <dcterms:modified xsi:type="dcterms:W3CDTF">2024-11-08T09:22:00Z</dcterms:modified>
</cp:coreProperties>
</file>